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克州吐尔尕特口岸管理办公室</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中共吐尔尕特口岸工作委员会为自治州党委的派驻机构，吐尔尕特口岸管委会为自治州人民政府的派驻机构，其职能：贯彻落实党和国家的方针、政策及自治区重大部署；了解和掌握外事、侨务、口岸工作的情况，协调有关部门处理涉外事务；负责编制口岸总体规划和各专项发展规划，并组织实施；负责招商引资工作，按规定权限审批、审定、申报各项投资项目；负责规划建设、公共设施建设管理工作；负责口岸财政预决算、国有资产管理、投资、融资工作；根据规定权限负责口岸各类进出口行政事务；承担上级部门、驻口岸各部门及相关单位的沟通联系和协调职责；承办自治区和自治州、人民政府交办的其他事项。</w:t>
      </w:r>
      <w:r>
        <w:rPr>
          <w:rFonts w:hint="eastAsia" w:ascii="仿宋_GB2312" w:hAnsi="宋体" w:eastAsia="仿宋_GB2312"/>
          <w:b w:val="0"/>
          <w:bCs/>
          <w:sz w:val="32"/>
          <w:szCs w:val="32"/>
        </w:rPr>
        <w:cr/>
      </w:r>
      <w:r>
        <w:rPr>
          <w:rFonts w:hint="eastAsia" w:ascii="仿宋_GB2312" w:hAnsi="宋体" w:eastAsia="仿宋_GB2312"/>
          <w:b w:val="0"/>
          <w:bCs/>
          <w:sz w:val="32"/>
          <w:szCs w:val="32"/>
        </w:rPr>
        <w:t>2.机构设置和人员构成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吐尔尕特口岸管委会无下属预算单位，下设3个科室，分别是：党政办公室；综合科；服务中心。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吐尔尕特口岸管委会单位编制数22人，实有人数49人，其中：在职24人，增加或减少0人；退休25人，增加或减少0人；离休0人.</w:t>
      </w:r>
      <w:r>
        <w:rPr>
          <w:rFonts w:hint="eastAsia" w:ascii="仿宋_GB2312" w:hAnsi="宋体" w:eastAsia="仿宋_GB2312"/>
          <w:b w:val="0"/>
          <w:bCs/>
          <w:sz w:val="32"/>
          <w:szCs w:val="32"/>
        </w:rPr>
        <w:cr/>
      </w:r>
      <w:r>
        <w:rPr>
          <w:rFonts w:hint="eastAsia" w:ascii="仿宋_GB2312" w:hAnsi="宋体" w:eastAsia="仿宋_GB2312"/>
          <w:b w:val="0"/>
          <w:bCs/>
          <w:sz w:val="32"/>
          <w:szCs w:val="32"/>
        </w:rPr>
        <w:t>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吐尔尕特口岸始终坚持以习近平新时代中国特色社会主义思想为指导,深入贯彻党的十九大和十九届二中、三中、四中、五中、六中全会精神,全面贯彻中央经济工作会议、自治区、自治州党委经济工作会议精神，按照自治区、自治州关于口岸工作的目标要求,全力推动口岸管理、口岸服务、反走私和机关党建等各项工作再上新台阶，取得新突破，聚力服务疫情防控和经济发展“两战赢”，助推新时代克州经济社会高质量发展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（1）进一步健全口岸管理体制机制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进一步明确部门职责，不断强化横向协调、纵向联动、条块结合、通力协作，科学推进口岸工作。健全口岸工作例会，定期召开口岸联席工作会议，定期协调解决口岸管理中的重大问题,促进部门间协作配合,实现口岸安全高效运行。着力提升口岸协调能力。完善口岸通关协调机制,重点强化“信息互换、监管互认、执法互助”,及时解决口岸建设、口岸通关上出现的新情况、新问题，促进部门间协作配合,不断提高口岸服务水平。做好口岸“十四五”发展规划工作。结合口岸“十三五”发展规划的落实，总结成功经验做法，认真评估建设成效。做好“十四五”发展规划工作，从口岸的实际条件出发，科学预测、合理规划，因地制宜地确定口岸的总体发展目标，体现口岸总体规划的宏观性、战略性、政策性和指导型，为口岸全面实现现代化服务。完善口岸基础设施。积极协调相关部门推进口岸配套设施建设，做好口岸运行保障和临时进靠等工作。扎实做好2022年口岸项目申报和建设工作，为口岸升级奠定基础。着力做好口岸防疫工作。密切关注口岸疫情动态，及时分析口岸疫情防控形势，充分利用口岸工作协作机制，配合疫情防控工作专班共同保障口岸运行安全。着力提升口岸干部队伍素质。持续加强口岸干部队伍建设，提升干部能力素质,努力锻造一支能力强、素质高、作风硬,能征善战、敢于担当的口岸铁军。</w:t>
      </w:r>
      <w:r>
        <w:rPr>
          <w:rFonts w:hint="eastAsia" w:ascii="仿宋_GB2312" w:hAnsi="宋体" w:eastAsia="仿宋_GB2312"/>
          <w:b w:val="0"/>
          <w:bCs/>
          <w:sz w:val="32"/>
          <w:szCs w:val="32"/>
        </w:rPr>
        <w:cr/>
      </w:r>
      <w:r>
        <w:rPr>
          <w:rFonts w:hint="eastAsia" w:ascii="仿宋_GB2312" w:hAnsi="宋体" w:eastAsia="仿宋_GB2312"/>
          <w:b w:val="0"/>
          <w:bCs/>
          <w:sz w:val="32"/>
          <w:szCs w:val="32"/>
        </w:rPr>
        <w:t>　　（2）进一步优化口岸营商环境</w:t>
      </w:r>
      <w:r>
        <w:rPr>
          <w:rFonts w:hint="eastAsia" w:ascii="仿宋_GB2312" w:hAnsi="宋体" w:eastAsia="仿宋_GB2312"/>
          <w:b w:val="0"/>
          <w:bCs/>
          <w:sz w:val="32"/>
          <w:szCs w:val="32"/>
        </w:rPr>
        <w:cr/>
      </w:r>
      <w:r>
        <w:rPr>
          <w:rFonts w:hint="eastAsia" w:ascii="仿宋_GB2312" w:hAnsi="宋体" w:eastAsia="仿宋_GB2312"/>
          <w:b w:val="0"/>
          <w:bCs/>
          <w:sz w:val="32"/>
          <w:szCs w:val="32"/>
        </w:rPr>
        <w:t>　　全面贯彻落实国家、自治区、自治州优化口岸营商环境文件精神，不断优化口岸营商环境，促进克州对外贸易稳步发展。做好口岸营商环境评价。会同口岸查验单位，落实好自治区、自治州关于优化营商环境各项工作部署，深入拓展国际贸易“单一窗口”功能，推行“提前申报”，优化“两步申报”通关模式，减少外资外贸企业投资经营限制，建立长效化服务机制，及时回应企业群众诉求。巩固提高提效降费成效。完善口岸收费公示制度，落实各项降费政策，督促企业做好收费公示，杜绝出现乱收费、乱涨价现象，加强监督检查，降低口岸通关综合成本。继续保持打私高压态势。聚焦中央关注、社会关切、企业关心的热点和难点问题，精准实施专项打击行动，积极探索建立对走私及外籍人员等处置工作流程，提升工作的质量和效率。</w:t>
      </w:r>
      <w:r>
        <w:rPr>
          <w:rFonts w:hint="eastAsia" w:ascii="仿宋_GB2312" w:hAnsi="宋体" w:eastAsia="仿宋_GB2312"/>
          <w:b w:val="0"/>
          <w:bCs/>
          <w:sz w:val="32"/>
          <w:szCs w:val="32"/>
        </w:rPr>
        <w:cr/>
      </w:r>
      <w:r>
        <w:rPr>
          <w:rFonts w:hint="eastAsia" w:ascii="仿宋_GB2312" w:hAnsi="宋体" w:eastAsia="仿宋_GB2312"/>
          <w:b w:val="0"/>
          <w:bCs/>
          <w:sz w:val="32"/>
          <w:szCs w:val="32"/>
        </w:rPr>
        <w:t>　　（3）持续推进通关便利化工作???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口岸各查验单位对吉工作信息共享良性互动工作机制，定期、不定期召开联席会议，分析研究对吉工作情况，进一步加强对口岸突发事件的管控，提高我州口岸突发事件的应对和处置能力，形成合心、合力、合作的工作新局面。全面推进出入境查验货场建设，提高查验功能，改善查验的工作环境和条件，优化口岸通关流程和作业方式，进一步巩固压缩整体通关时间。深化“一次申报、一次查验、一次放行”，推广“一站式”通关、集中报关报检、无纸化通关、区域一体化通关等创新模式，推动口岸各单位部门“信息互换、监管互认、执法互助”，推动实现信息数据全面共享，推动查验结果互认，扩大联合执法范围，提高口岸通关便利。</w:t>
      </w:r>
      <w:r>
        <w:rPr>
          <w:rFonts w:hint="eastAsia" w:ascii="仿宋_GB2312" w:hAnsi="宋体" w:eastAsia="仿宋_GB2312"/>
          <w:b w:val="0"/>
          <w:bCs/>
          <w:sz w:val="32"/>
          <w:szCs w:val="32"/>
        </w:rPr>
        <w:cr/>
      </w:r>
      <w:r>
        <w:rPr>
          <w:rFonts w:hint="eastAsia" w:ascii="仿宋_GB2312" w:hAnsi="宋体" w:eastAsia="仿宋_GB2312"/>
          <w:b w:val="0"/>
          <w:bCs/>
          <w:sz w:val="32"/>
          <w:szCs w:val="32"/>
        </w:rPr>
        <w:t>　　（4）进一步提升区域联动能力和水平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推动交通互联互通工作。借助“一带一路”经济带建设和在口岸建设基础设施互联互通等方面给予扶持等政策机遇，加强与州发改、交通等相关部门间的联系、沟通、汇报，加强与吉尔吉斯斯坦会晤、磋商和合作，配合交通、外事、招商引资等部门，夯实“一带一路”经济带建设的基础，加大建设力度。整合口岸资源，健全合作机制。提升口岸综合竞争力，促进区域化协调发展、联动发展，围绕喀什“特殊经济开发区”的规划建设，分享喀什经济区的溢出效应，着力发展与之配套的商贸物流、中介服务和房地产业等，实现借力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（5）加强党建和机关工作，全面提高工作水平和服务能力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坚持党的领导，旗帜鲜明讲政治。始终坚持正确政治方向，团结带领全体党员干部牢固树立“四个意识”，在思想上政治上行动上同以习近平同志为核心的党中央保持高度一致，深入学习贯彻习近平总书记系列重要讲话精神，坚定中国特色社会主义道路自信、理论自信、制度自信、文化自信，用科学理论武装头脑、指导实践、推动工作。坚持政治建设统领，加强和规范党内政治生活。按照新时代党的建设总要求，严格落实党内政治生活制度，认真执行“三会一课”、民主生活会、民主评议党员、谈心谈话等制度，加强内部管理，提高工作效率和水平，全面提高机关党的建设质量。加强党风廉政建设，积极打造清廉机关。认真落实全面从严治党主体责任，严格执行中央八项规定及其实施细则精神，坚定不移纠“四风”树新风，加强日常管理，强化对党员干部的动态监督。深入开展经常性党规党纪教育，注重以案释纪，持续抓好警示教育，增强党员干部廉洁自律意识，营造风清气正的政治生态。</w:t>
      </w:r>
      <w:r>
        <w:rPr>
          <w:rFonts w:hint="eastAsia" w:ascii="仿宋_GB2312" w:hAnsi="宋体" w:eastAsia="仿宋_GB2312"/>
          <w:b w:val="0"/>
          <w:bCs/>
          <w:sz w:val="32"/>
          <w:szCs w:val="32"/>
        </w:rPr>
        <w:cr/>
      </w:r>
      <w:r>
        <w:rPr>
          <w:rFonts w:hint="eastAsia" w:ascii="仿宋_GB2312" w:hAnsi="宋体" w:eastAsia="仿宋_GB2312"/>
          <w:b w:val="0"/>
          <w:bCs/>
          <w:sz w:val="32"/>
          <w:szCs w:val="32"/>
        </w:rPr>
        <w:t>　　（二）单位决策机制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决策机制根据行政事业单位内部控制体系建设相关要求，逐步完善《吐尔尕特口岸党工委议事规则》、《三重一大会议制度》，根据制度规定“单位的各项开支均应实行计划管理，口岸委的财务坚持副职分管、正职监管、纪委监督的原则，实行统一集中管理，一切开支，均按照相关财务制度规定严格执行。各项费用开支，必须严格履行审批手续，做到先批后用。坚持“一支笔”原则，经审批的各项费用开支必须凭据真实，手续齐全，由经手人签字，分管财务领导审签后方可报销。”进行单位事项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（2）收支管理：领导层是本单位收支业务管理的决策部门，负责审批单位收支业务等事项。涉及“三重一大”事项，根据《党工委集体决策制度》和《吐尔尕特口岸管理委员会项目管理办法》办理。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吐尔尕特口岸管委会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吐尔尕特口岸管理委员会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1392.77万元，项目支出安排资金1555.79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本单位2021年度项目支出1555.79万元，涉及项目数量7个，其中：涉密项目1076.21万元，重点项目支出175.65万元，涉及重点项目数量1个，重点项目支出与部门项目总支出（除去涉密项目）的比率为36.63%。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2021年度本单位年初批复部门预算资金总额为784.29万元，年中调增预算总额为2164.27万元，调整后全年预算资金总额为2948.56万元。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2021年度本单位部门整体支出资金总额为2948.56万元，预算执行率为100%，预算调整率为</w:t>
      </w:r>
      <w:r>
        <w:rPr>
          <w:rFonts w:hint="eastAsia" w:ascii="仿宋_GB2312" w:hAnsi="宋体" w:eastAsia="仿宋_GB2312"/>
          <w:b w:val="0"/>
          <w:bCs/>
          <w:sz w:val="32"/>
          <w:szCs w:val="32"/>
          <w:lang w:val="en-US" w:eastAsia="zh-CN"/>
        </w:rPr>
        <w:t>275.95</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年初政府采购预算数为300万元，实际政府采购数为1059万元，政府采购执行率为28.33%。</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为加强我单位预算管理、规范财务行为我单位制定了《吐尔尕特口岸管委会内部控制规范》《吐尔尕特口岸管委会项目管理规范》等资金管理制度，已建立制度均健全且有效运行。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2021年度我单位基本支出预算总额为1392.77万元，其中人员经费496.87万元，公用经费895.96万元。实际执行总额为1392.77万元，预算执行率100%。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7.2万元，比上年增加3.6万元，增加50%，主要原因是：2021年增加了疫情防控车辆运行及维护费，因此支出随之增加。其中，因公出国（境）费支出0万元；公务用车购置及运行维护费支出7.2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7.2万元，预算执行数为7.2万元，执行率为100%，主要原因是：2021年增加了疫情防控车辆运行及维护费，因此支出随之增加，综上我单位2021年度三公经费控制较好，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2021年度本单位项目支出预算总额为1700.50万元，实际执行资金总额为1555.79万元，预算执行率为94.49%。</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1519.85万元，实际支出资金1375.14万元，预算执行率为90.48%，涉及项目个数5个，专项资金结转82.85万元，结转的主要原因为：未及时提供票据或未发生费用，导致资金未支出完毕。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1、吐尔尕特口岸污水处理厂提升改造项目:全年预算数为420万元，预算执行数为286.34万元，预算执行率为68%。因按照合同和工程进度支付。</w:t>
      </w:r>
      <w:r>
        <w:rPr>
          <w:rFonts w:hint="eastAsia" w:ascii="仿宋_GB2312" w:hAnsi="宋体" w:eastAsia="仿宋_GB2312"/>
          <w:b w:val="0"/>
          <w:bCs/>
          <w:sz w:val="32"/>
          <w:szCs w:val="32"/>
        </w:rPr>
        <w:cr/>
      </w:r>
      <w:r>
        <w:rPr>
          <w:rFonts w:hint="eastAsia" w:ascii="仿宋_GB2312" w:hAnsi="宋体" w:eastAsia="仿宋_GB2312"/>
          <w:b w:val="0"/>
          <w:bCs/>
          <w:sz w:val="32"/>
          <w:szCs w:val="32"/>
        </w:rPr>
        <w:t>　　2、免除查验没有问题外贸企业吊装移位仓储费全年预算数为14.64万元，预算执行数为4.64万元，预算执行率为30%。</w:t>
      </w:r>
      <w:r>
        <w:rPr>
          <w:rFonts w:hint="eastAsia" w:ascii="仿宋_GB2312" w:hAnsi="宋体" w:eastAsia="仿宋_GB2312"/>
          <w:b w:val="0"/>
          <w:bCs/>
          <w:sz w:val="32"/>
          <w:szCs w:val="32"/>
        </w:rPr>
        <w:cr/>
      </w:r>
      <w:r>
        <w:rPr>
          <w:rFonts w:hint="eastAsia" w:ascii="仿宋_GB2312" w:hAnsi="宋体" w:eastAsia="仿宋_GB2312"/>
          <w:b w:val="0"/>
          <w:bCs/>
          <w:sz w:val="32"/>
          <w:szCs w:val="32"/>
        </w:rPr>
        <w:t>　　3、第一书记、为民办实事好事经费项目:全年预算数为8.95万元，预算执行数为7.95万元，预算执行率为85.71%。</w:t>
      </w:r>
      <w:r>
        <w:rPr>
          <w:rFonts w:hint="eastAsia" w:ascii="仿宋_GB2312" w:hAnsi="宋体" w:eastAsia="仿宋_GB2312"/>
          <w:b w:val="0"/>
          <w:bCs/>
          <w:sz w:val="32"/>
          <w:szCs w:val="32"/>
        </w:rPr>
        <w:cr/>
      </w:r>
      <w:r>
        <w:rPr>
          <w:rFonts w:hint="eastAsia" w:ascii="仿宋_GB2312" w:hAnsi="宋体" w:eastAsia="仿宋_GB2312"/>
          <w:b w:val="0"/>
          <w:bCs/>
          <w:sz w:val="32"/>
          <w:szCs w:val="32"/>
        </w:rPr>
        <w:t>　　4、2020年边境地区转移支付资金项目:全年预算数为72.76万元，预算执行数为72.76万元，预算执行率为100%。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5、2021年边境地区转移支付资金项目:全年预算数为1000万元，预算执行数为999.95万元，预算执行率为100%。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2021年度预算安排本级财力资金180.65万元，实际支出资金180.65万元，预算执行率为100%，涉及项目个数2个，各项目详细执行情况如下：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1.群众工作经费项目:全年预算数为5万元，预算执行数为5万元，预算执行率为100%。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2.吐尔尕特口岸新增建设用地有偿使用费：全年预算数为175.65万元，预算执行数为175.65万元，预算执行率为100%。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90.48%。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吐尔尕特口岸污水处理厂提升改造项目:该项目为涉密项目。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免除查验没有问题外贸企业吊装移位仓储费项目：《关于下达2021年免除查验没有问题外贸企业吊装移位仓储费用试点资金的通知》（克财行）[2021]42号）。</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好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2020年边境地区转移支付资金项目:《关于下达2021年边境地区转移支付预算的通知》（新财预[2021]31号）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2021年边境地区转移支付资金项目:《关于下达2021年边境地区转移支付预算的通知》（新财预[2021]31号）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5项专项，总投入共计1519.85万元资金全部到位，实际使用资金1375.14万元，专项资金执行率为90.48%。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①制订《吐尔尕特口岸管理委员会经费使用规范》,为合理合规使用经费提供了有力的制度保障。同时,建立区委组织部项目经费内部管控制度，并严格按要求落实。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成本节约：我单位5个项目成本均未超预算，预算执行率达90.48%。</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我单位各项工作实施及资金使用情况均在绩效目标设定时限完成。预算安排的基本支出保障了正常的工作运转，预算安排的项目支出是非常必要的，在执行上是严格遵守各项财经纪律的，在项目资金的使用上也是放的心的，严守法律底线、纪律底线、道德底线</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我单位共有5个项目，项目实施进度已达到91.74%.</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1、吐尔尕特口岸污水处理厂提升改造项目:主要用于口岸污水处理厂提升改造。有利于保护自然环境和污水处理能力。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2、免除查验没有问题外贸企业吊装移位仓储费项目：主要用于查验没有问题的外贸企业吊装移位等费用的补助，有利于减轻企业负担。</w:t>
      </w:r>
      <w:r>
        <w:rPr>
          <w:rFonts w:hint="eastAsia" w:ascii="仿宋_GB2312" w:hAnsi="宋体" w:eastAsia="仿宋_GB2312"/>
          <w:b w:val="0"/>
          <w:bCs/>
          <w:sz w:val="32"/>
          <w:szCs w:val="32"/>
        </w:rPr>
        <w:cr/>
      </w:r>
      <w:r>
        <w:rPr>
          <w:rFonts w:hint="eastAsia" w:ascii="仿宋_GB2312" w:hAnsi="宋体" w:eastAsia="仿宋_GB2312"/>
          <w:b w:val="0"/>
          <w:bCs/>
          <w:sz w:val="32"/>
          <w:szCs w:val="32"/>
        </w:rPr>
        <w:t>　　3、第一书记、为民办实事好事经费项目:主要用于为民办实事好事，有利于增加群众获得感，增强对政府信任。</w:t>
      </w:r>
      <w:r>
        <w:rPr>
          <w:rFonts w:hint="eastAsia" w:ascii="仿宋_GB2312" w:hAnsi="宋体" w:eastAsia="仿宋_GB2312"/>
          <w:b w:val="0"/>
          <w:bCs/>
          <w:sz w:val="32"/>
          <w:szCs w:val="32"/>
        </w:rPr>
        <w:cr/>
      </w:r>
      <w:r>
        <w:rPr>
          <w:rFonts w:hint="eastAsia" w:ascii="仿宋_GB2312" w:hAnsi="宋体" w:eastAsia="仿宋_GB2312"/>
          <w:b w:val="0"/>
          <w:bCs/>
          <w:sz w:val="32"/>
          <w:szCs w:val="32"/>
        </w:rPr>
        <w:t>　　4、2020年边境地区转移支付资金项目:主要用于为口岸辖区及国门一线运转，有利于提高通关速度，辖区的基础设施建设。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5、2021年边境地区转移支付资金项目主要用于为口岸辖区及国门一线运转，有利于提高通关速度，辖区的基础设施建设。</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本单位2021年12月31日，我单位资产总额为12719.02万元，年初资产总额为4273.68万元，较年初资产总额增加8445.34万元，增长率33.6%，其中：</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流动资产总额为297.25万元，2020年年初流动资产总额为505.34万元，较年初流动资产减少208.09万元，下降率58.88%，主要变动原因是：财政因返还额度减少。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固定资产总额（净值）为10471.2万元，2020年年初固定资产总额为2665.67万元，较年初固定资产增加7805.53万元，增长率25.46%，主要变动原因是：维稳、疫情防控购买资产。</w:t>
      </w:r>
      <w:r>
        <w:rPr>
          <w:rFonts w:hint="eastAsia" w:ascii="仿宋_GB2312" w:hAnsi="宋体" w:eastAsia="仿宋_GB2312"/>
          <w:b w:val="0"/>
          <w:bCs/>
          <w:sz w:val="32"/>
          <w:szCs w:val="32"/>
        </w:rPr>
        <w:cr/>
      </w:r>
      <w:r>
        <w:rPr>
          <w:rFonts w:hint="eastAsia" w:ascii="仿宋_GB2312" w:hAnsi="宋体" w:eastAsia="仿宋_GB2312"/>
          <w:b w:val="0"/>
          <w:bCs/>
          <w:sz w:val="32"/>
          <w:szCs w:val="32"/>
        </w:rPr>
        <w:t>　　在建工程总额为2018.55万元，2020年年初在建工程总额为8621.65万元，较年初在建工程增加减少6603.1万元，减少23.42%，主要变动原因是：在建工程转固定资产。</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截止本年度固定资产账面净值10,471.20万元，年末实际在用固定资产10,471.20万元，固定资产利用率为100%。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我单位2021年度部门（单位）整体支出绩效目标共设置一级指标3个，二级指标9个，三级指标14个，其中已完成三级指标14个，指标完成率为100%。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“开展活动次数”指标：预期指标值为&gt;=6次，实际完成指标值为5次，指标完成率为100%;偏差原因：项目已完成，未提供发票，未及时形成支出改进措施：尽快督促发票的开具，及时支出改笔资金。</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“群众工作经费办实事好事”指标：预期指标值为&gt;=10次，实际完成指标值为10次，指标完成率为100%;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“保障车辆”指标：预期指标值为=5辆，实际完成指标值为5辆，指标完成率为100%;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“保障人员工资、生活补助人数”指标：预期指标值为=49人，实际完成指标值为49人，指标完成率为100%;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“活动开展及时性”指标：预期指标值为=100%，实际完成指标值为100%，指标完成率为100%;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“人员经费”指标：预期指标值为=453.19万元，实际完成指标值为453.19万元，指标完成率为100%;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“公用经费”指标：预期指标值为=319.10万元，实际完成指标值为319.10万元，指标完成率为100%;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“项目支出”指标：预期指标值为=12万元，实际完成指标值为12万元，指标完成率为100%;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无此项指标：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无此项指标：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“促进工作顺利开展”指标：预期指标值为有效促进，实际完成指标值为有效促进，指标完成率为100%。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“收益人群满意度”指标：预期指标值为≥98%，实际完成指标值为98%，指标完成率为100%;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“受益单位满意度”指标：预期指标值为≥98%，实际完成指标值为98%，指标完成率为100%;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4C72120"/>
    <w:rsid w:val="1BCF7D3E"/>
    <w:rsid w:val="200F4073"/>
    <w:rsid w:val="24B86128"/>
    <w:rsid w:val="419F30FF"/>
    <w:rsid w:val="51C70EA9"/>
    <w:rsid w:val="54F842B6"/>
    <w:rsid w:val="656071F2"/>
    <w:rsid w:val="6BF1756B"/>
    <w:rsid w:val="6F5E1AA3"/>
    <w:rsid w:val="7A032C81"/>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2022-05-23T15:24:00Z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